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54d7ad128884c21"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19837</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STRUKOVNA ŠKOLA ĐURĐEVAC</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31</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2.871.042,87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3.084.724,96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2.774.736,97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3.317.172,94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232.447,98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46.740,41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35.685,91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46.740,41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35.685,91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268.133,89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r>
        <w:t xml:space="preserve">U razdoblju od 01. siječnja do 31. prosinca 2025. prihodi poslovanja ostvareni su u iznosu od 3.084.724,96 €. Najznačajnije povećanje prihoda poslovanja ostvareno je od MZOM-a za plaće i materijalne rashode za zaposlene. Najznačajnije smanjenje prihoda poslovanja bilježi se na prihodima od donacija jer nisu tražene donacije za provođenje projekata. U razdoblju od 01. siječnja do 31. prosinca 2025. rashodi poslovanja ostvareni su u iznosu od 3.352.858,85€.  Najznačajnije povećanje rashoda evidentirano je na rashodima za naknade troškova osobama izvan radnog odnosa zbog veće mobilnosti učenika po projektima Erasmus+. Najznačajnije smanjenje rashoda bilježi se na rashodima za zdravstvene usluge jer djelatnici nisu išli na sistematske preglede zbog nedostatka financijskih sredstava. U navedenom razdoblju nema ostvarenih prihoda od prodaje nefinancijske imovine, dok su rashodi za nabavu nefinancijske imovine ostvareni u iznosu od 35.685,91 €. Navedeni rashodi se odnose na kupnju računala za informatičku učionu,  dijagnostičkiškog  uređaja, dizalice za mjenjače  za praktičnu nastavu smjer automehatroničar, uređaja za zavarivanje, stanice za pneumatiku za strojarstvo, perilice suđa, ledomata i sokovnika za ugostiteljski praktikum, kozmetičkog uređaja HydroART, lupa za praktičnu nastavu kozmetičara, klime u školsku knjižnicu i zbornicu,  namještaja i kupnju knjiga. U navedenom razodblju nije bilo ostvarenih primitaka i izdataka od financijske imovine i zaduživanja. U razdoblju od 01. siječnja do 31. prosinca 2025. ostvaren je manjak prihoda poslovanja u iznosu od 268.133,89€.</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2.423.218,90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2.633.932,65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108,7</w:t>
            </w:r>
          </w:p>
        </w:tc>
      </w:tr>
    </w:tbl>
    <w:p>
      <w:pPr>
        <w:spacing w:before="0" w:after="0"/>
      </w:pPr>
    </w:p>
    <w:p>
      <w:r>
        <w:t xml:space="preserve">Povećanje prihoda od MZO-a zbog većih koeficijenata i materijalnih prava zaposlenika u školi.</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pruženih usluga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24.499,03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19.676,73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80,3</w:t>
            </w:r>
          </w:p>
        </w:tc>
      </w:tr>
    </w:tbl>
    <w:p>
      <w:pPr>
        <w:spacing w:before="0" w:after="0"/>
      </w:pPr>
    </w:p>
    <w:p>
      <w:r>
        <w:t xml:space="preserve">Smanjenje jer se u 2024. g. provodilo  obrazovanje odraslih smjer kuhar, a ove godine se ne provodi.</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6.686,00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5.194,09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77,7</w:t>
            </w:r>
          </w:p>
        </w:tc>
      </w:tr>
    </w:tbl>
    <w:p>
      <w:pPr>
        <w:spacing w:before="0" w:after="0"/>
      </w:pPr>
    </w:p>
    <w:p>
      <w:r>
        <w:t xml:space="preserve">Smanjenje jer nisu tražene donacije za provođenje programa svemirska tehnologija.</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8.914,00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33,9</w:t>
            </w:r>
          </w:p>
        </w:tc>
      </w:tr>
    </w:tbl>
    <w:p>
      <w:pPr>
        <w:spacing w:before="0" w:after="0"/>
      </w:pPr>
    </w:p>
    <w:p>
      <w:r>
        <w:t xml:space="preserve">Smanjenje jer nisu tražene donacije za provođenje programa svemirska tehnologija.</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1.917.559,65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2.263.677,41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bl>
    <w:p>
      <w:pPr>
        <w:spacing w:before="0" w:after="0"/>
      </w:pPr>
    </w:p>
    <w:p>
      <w:r>
        <w:t xml:space="preserve">Povećanje rashoda zbog većih koeficijenata, osnovice i materijalnih prava  zaposlenika.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prekovremeni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91.144,85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137.178,11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150,5</w:t>
            </w:r>
          </w:p>
        </w:tc>
      </w:tr>
    </w:tbl>
    <w:p>
      <w:pPr>
        <w:spacing w:before="0" w:after="0"/>
      </w:pPr>
    </w:p>
    <w:p>
      <w:r>
        <w:t xml:space="preserve">Povećanje zbog  zamjena djelatnika koji su bili na bolovanju.</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20.709,96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189,9</w:t>
            </w:r>
          </w:p>
        </w:tc>
      </w:tr>
    </w:tbl>
    <w:p>
      <w:pPr>
        <w:spacing w:before="0" w:after="0"/>
      </w:pPr>
    </w:p>
    <w:p>
      <w:r>
        <w:t xml:space="preserve">Povećanje zbog provedenih  mobilnosti nastavnika po projektima Erasmus.</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 i dijelovi za tekuće i investicijsko održavanje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4.364,42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7.174,41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164,4</w:t>
            </w:r>
          </w:p>
        </w:tc>
      </w:tr>
    </w:tbl>
    <w:p>
      <w:pPr>
        <w:spacing w:before="0" w:after="0"/>
      </w:pPr>
    </w:p>
    <w:p>
      <w:r>
        <w:t xml:space="preserve">Povećanje zbog kupnje dijelova za robotsku stanicu.</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tekućeg i investicijskog održavanja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21.576,87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25.752,38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119,4</w:t>
            </w:r>
          </w:p>
        </w:tc>
      </w:tr>
    </w:tbl>
    <w:p>
      <w:pPr>
        <w:spacing w:before="0" w:after="0"/>
      </w:pPr>
    </w:p>
    <w:p>
      <w:r>
        <w:t xml:space="preserve">Povećanje zbog popravka sustava grijanja, i zbog rashoda za energetsku obnovu  školskog stana podmirenih  iz vlastitih prihoda.</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zbog veće mobilnosti po projektima Erasmus+.</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1.980,93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w:t>
            </w:r>
          </w:p>
        </w:tc>
      </w:tr>
    </w:tbl>
    <w:p>
      <w:pPr>
        <w:spacing w:before="0" w:after="0"/>
      </w:pPr>
    </w:p>
    <w:p>
      <w:r>
        <w:t xml:space="preserve">Smanjenje jer djelatnici  nisu bili upućeni na sistematski pregled zbog nedostatka financijskih sredstava.</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51.339,15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108.993,34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212,3</w:t>
            </w:r>
          </w:p>
        </w:tc>
      </w:tr>
    </w:tbl>
    <w:p>
      <w:pPr>
        <w:spacing w:before="0" w:after="0"/>
      </w:pPr>
    </w:p>
    <w:p>
      <w:r>
        <w:t xml:space="preserve">Povećanje zbog provedenih  mobilnosti učenika  po projektima Erasmus+.</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Članarine i norme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260,0</w:t>
            </w:r>
          </w:p>
        </w:tc>
      </w:tr>
    </w:tbl>
    <w:p>
      <w:pPr>
        <w:spacing w:before="0" w:after="0"/>
      </w:pPr>
    </w:p>
    <w:p>
      <w:r>
        <w:t xml:space="preserve">Povećanje jer je plaćena članarina UHSR.</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11.304,13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3.173,28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28,1</w:t>
            </w:r>
          </w:p>
        </w:tc>
      </w:tr>
    </w:tbl>
    <w:p>
      <w:pPr>
        <w:spacing w:before="0" w:after="0"/>
      </w:pPr>
    </w:p>
    <w:p>
      <w:r>
        <w:t xml:space="preserve">Smanjenje jer je škola u  2024. provodila projekt Stazom medenjaka.</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preneseni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72.909,41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26.612,50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36,5</w:t>
            </w:r>
          </w:p>
        </w:tc>
      </w:tr>
    </w:tbl>
    <w:p>
      <w:pPr>
        <w:spacing w:before="0" w:after="0"/>
      </w:pPr>
    </w:p>
    <w:p>
      <w:r>
        <w:t xml:space="preserve">Prenesni višak je manji jer je napravljena korekcija rezultata za projekt Erasmus+ prema uputi Ministarstva financija.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 nenaplaćeni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264.943,84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Povećanje jer se  po novom pravilniku o proračunskom računovodstvu plaće evidentiraju  u mjesecu za koji se vrši obračun, a obračunati prihodi se zatvaraju kada je plaća isplaćena u sljedećem mjesecu.</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Manjak prihoda i primitaka za pokriće u sljedećem razdoblju (šifre Y005 + '9222-9221' - X005 - '9221-9222'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Y006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241.521,39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Manjak prihoda i primitaka raspoloživ u sljedećem razdoblju  u iznosu od 24.521,39 sastoji se od: prenesenog viška  iz 2024.g. u iznosu od 26.612,50 €  te ostvarenog manjka poslovanja u 2025 .godini u iznosu od 268.133,89 €.  Škola je ostvarila manjak jer se po novom pravilniku o proračunskom računovodstvu rashodi za plaću prosinca evidentiraju na 31.12.2025.,  a prihodi se evidentiraju na dan isplate plaće u siječnju 2026.</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bolest, invalidnost i smrtni slučaj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201,6</w:t>
            </w:r>
          </w:p>
        </w:tc>
      </w:tr>
    </w:tbl>
    <w:p>
      <w:pPr>
        <w:spacing w:before="0" w:after="0"/>
      </w:pPr>
    </w:p>
    <w:p>
      <w:r>
        <w:t xml:space="preserve">Povećanje jer su djelatnicima isplaćene naknade za invalidnost djece.</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4.986,25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7.833,70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157,1</w:t>
            </w:r>
          </w:p>
        </w:tc>
      </w:tr>
    </w:tbl>
    <w:p>
      <w:pPr>
        <w:spacing w:before="0" w:after="0"/>
      </w:pPr>
    </w:p>
    <w:p>
      <w:r>
        <w:t xml:space="preserve">Povećanje jer su kupljena 3 klima uređaja za školsku knjižnicu i zbornicu.</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628,21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407,9</w:t>
            </w:r>
          </w:p>
        </w:tc>
      </w:tr>
    </w:tbl>
    <w:p>
      <w:pPr>
        <w:spacing w:before="0" w:after="0"/>
      </w:pPr>
    </w:p>
    <w:p>
      <w:r>
        <w:t xml:space="preserve">Povećanje zbog većeg broja djelatnika na bolovanju na teret HZZO-a.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proračunskim korisnicima iz proračuna koji im nije nadležan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222.944,13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jer se  po novom pravilniku o proračunskom računovodstvu plaće evidentiraju kao potraživanje u mjesecu za koji se vrši obračun, a potraživanje se zatvara kada je plaća isplaćena u sljedećem mjesecu.</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41.490,35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uputi Ministarstva financija  projekti  Erasmus+  evidentiraju se kao potraživanja  za pomoći temeljem prijenosa EU sredstava na način da ukoliko početak i završetak projekta nisu u istoj proračunskoj godini, temeljem nastalih rashoda projekta u tromjesečju, na kraju svakog tromjesečja evidentiraju se potraživanja za pomoći temeljem prijenosa EU sredstava na osnovnim računima 16381 ili 16382.</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229.739,66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obveze za plaću prosinca  i materijalna prava zaposlenika.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165.776,00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novoj Uputi za računovodstveno evidentiranje sredstava Europske unije priljev novčanih sredstava se knjiži na obveze za EU predujmove, obveze za bolovanje na teret HZZO-a.</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(šifre 961 do 963 + 964 do 968)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264.943,84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Povećanje jer se  po novom pravilniku o proračunskom računovodstvu plaće evidentiraju  u mjesecu za koji se vrši obračun, a obračunati prihodi se zatvaraju kada je plaća isplaćena u sljedećem mjesecu.</w:t>
      </w:r>
    </w:p>
    <w:p>
      <w:r>
        <w:t xml:space="preserve">Prema uputi Ministarstva financija  projekti  Erasmus+  evidentiraju se kao obračunati prihodi poslovanja za pomoći temeljem prijenosa EU sredstava na način da ukoliko početak i završetak projekta nisu u istoj proračunskoj godini, temeljem nastalih rashoda projekta u tromjesečju, na kraju svakog tromjesečja evidentiraju se obračunati prihodi poslovanja za pomoći temeljem prijenosa EU sredstava na osnovnim računima 96381 ili 96382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191.858,00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Sklopljen je ugovor s AMPEU  o dodjeli bespovratnih sredstava s datumom od 1. siječnja 2025. sukladno pravilima definiranim Uputom, u okviru izvanbilančnih zapisa evidentirali smo cjelokupnu vrijednost sklopljenog ugovora.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 nedospjele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dio 23 N</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12.742,16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246.094,88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1931,3</w:t>
            </w:r>
          </w:p>
        </w:tc>
      </w:tr>
    </w:tbl>
    <w:p>
      <w:pPr>
        <w:spacing w:before="0" w:after="0"/>
      </w:pPr>
    </w:p>
    <w:p>
      <w:r>
        <w:t xml:space="preserve">Odnosi se na obveze za plaću prosinca  i materijalne rashode podmirene u siječnju 2026.</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EU predujmove dane iz državnog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27521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153.382,40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novoj Uputi za računovodstveno evidentiranje sredstava Europske unije priljev novčanih sredstava se knjiži na obveze za EU predujmove.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proračunskih korisnika za povrat u proračun</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prosincu su  krivo uplaćena sredstva  od strane Ministarstva turzima i sporta u iznosu od 11.000,00 € za projekt koji je odobren Obrtničkoj školi Koprivnica, prema dogovoru s Ministarstvom sredstva su u siječnju uplaćena od strane škole Obrtničkoj školi Koprvinica.</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Višak prihoda poslovanja - ispravci iz prethodnih razdoblja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92214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95.862,40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Napravljena je korekcija rezultata za projekt Erasmus+ prema uputi Ministarstva financija.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191.728,00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Sklopljen je ugovor s AMPEU  o dodjeli bespovratnih sredstava s datumom od 1. siječnja 2025. sukladno pravilima definiranim Uputom, u okviru izvanbilančnih zapisa evidentirali smo cjelokupnu vrijednost sklopljenog ugovora.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 srednjoškolsko obrazovanje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0922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2.821.477,38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3.352.858,85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118,8</w:t>
            </w:r>
          </w:p>
        </w:tc>
      </w:tr>
    </w:tbl>
    <w:p>
      <w:pPr>
        <w:spacing w:before="0" w:after="0"/>
      </w:pPr>
    </w:p>
    <w:p>
      <w:r>
        <w:t xml:space="preserve">Strukovna škola Đurđevac obavlja tehničko i strukovno srednje obrazovanje.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292.402,91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Uputi unešen je iznos provedenog ispravaka vrijednosti dugotrajne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Strukovna škola Đurđevac nema dospjele obveze na dan 31.12.2025.</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Obveza za bolovanje na teret HZZO-a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246.094,88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Obveze za plaću prosinca i materijalne rashode.</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predujmove, depozite, jamčevne pologe i tuđe prihode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164.382,40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Prema novoj Uputi za računovodstveno evidentiranje sredstava Europske unije priljev novčanih sredstava se knjiži na obveze za EU predujmove.</w:t>
      </w:r>
    </w:p>
    <w:p/>
    <w:p>
      <w:pPr>
        <w:jc w:val="center"/>
        <w:pStyle w:val="Normal"/>
        <w:spacing w:line="240" w:lineRule="auto"/>
        <w:keepNext/>
      </w:pPr>
      <w:r>
        <w:rPr>
          <w:sz w:val="28"/>
          <w:rFonts w:ascii="Times New Roman" w:hAnsi="Times New Roman"/>
        </w:rPr>
        <w:t xml:space="preserve">Bilješka 39.</w:t>
      </w:r>
    </w:p>
    <w:p>
      <w:pPr>
        <w:jc w:val="both"/>
        <w:pStyle w:val="Normal"/>
        <w:spacing w:line="240" w:lineRule="auto"/>
      </w:pPr>
      <w:r>
        <w:rPr>
          <w:b/>
          <w:sz w:val="24"/>
          <w:rFonts w:ascii="Times New Roman" w:hAnsi="Times New Roman"/>
        </w:rPr>
        <w:t xml:space="preserve">EU izvještaj</w:t>
      </w:r>
    </w:p>
    <w:p>
      <w:r>
        <w:t xml:space="preserve">Strukovna škola Đurđevac provodi projekte Erasmus+ , Shemu voća i Prilika za sve 7 iz koje se financiraju pomoćnici u nastavi.</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639f4b276eb84530" /></Relationships>
</file>